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cstheme="minorEastAsia"/>
          <w:b/>
          <w:bCs/>
          <w:color w:val="333333"/>
          <w:kern w:val="0"/>
          <w:sz w:val="28"/>
          <w:szCs w:val="28"/>
        </w:rPr>
      </w:pPr>
      <w:bookmarkStart w:id="0" w:name="_GoBack"/>
      <w:bookmarkEnd w:id="0"/>
      <w:r>
        <w:rPr>
          <w:rFonts w:hint="eastAsia" w:asciiTheme="minorEastAsia" w:hAnsiTheme="minorEastAsia" w:cstheme="minorEastAsia"/>
          <w:b/>
          <w:bCs/>
          <w:color w:val="333333"/>
          <w:kern w:val="0"/>
          <w:sz w:val="28"/>
          <w:szCs w:val="28"/>
        </w:rPr>
        <w:t>2021年度省、校级学位与研究生教育教学改革研究项目立项一览表</w:t>
      </w:r>
    </w:p>
    <w:tbl>
      <w:tblPr>
        <w:tblStyle w:val="6"/>
        <w:tblW w:w="14638" w:type="dxa"/>
        <w:jc w:val="center"/>
        <w:tblLayout w:type="fixed"/>
        <w:tblCellMar>
          <w:top w:w="15" w:type="dxa"/>
          <w:left w:w="15" w:type="dxa"/>
          <w:bottom w:w="15" w:type="dxa"/>
          <w:right w:w="15" w:type="dxa"/>
        </w:tblCellMar>
      </w:tblPr>
      <w:tblGrid>
        <w:gridCol w:w="592"/>
        <w:gridCol w:w="1845"/>
        <w:gridCol w:w="9156"/>
        <w:gridCol w:w="1365"/>
        <w:gridCol w:w="1680"/>
      </w:tblGrid>
      <w:tr>
        <w:tblPrEx>
          <w:tblCellMar>
            <w:top w:w="15" w:type="dxa"/>
            <w:left w:w="15" w:type="dxa"/>
            <w:bottom w:w="15" w:type="dxa"/>
            <w:right w:w="15" w:type="dxa"/>
          </w:tblCellMar>
        </w:tblPrEx>
        <w:trPr>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项目编号</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  目  名  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主持人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立项级别</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JXYJG-2021-162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基于缩微学术训练模型的课程实践初探——以“儿童发展理论和教育”为例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陈水平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省级一般项目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JXYJG-2021-163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“两性一度”要求下《技术经济学》课程混合式教学设计研究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汤新发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省级一般项目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JXYJG-2021-164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翻译硕士文化类课程思政建设——以《中国语言与文化》为例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胡华芳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省级一般项目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JXYJG-2021-165</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学位论文形式多样化要求下教育硕士《教育科学研究方法》课程改革实践研究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欧阳忠明</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省级一般项目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JXYJG-2021-166</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“一核心三结合三依托”视觉传达品牌设计专业学位研究生培养模式研究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赵勤</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省级一般项目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JXYJG-2021-167</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基于“一核双驱三位一体”理念的《材料性能学》线上线下混合式金课建设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艾建平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省级一般项目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JXYJG-2021-168</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内驱力激发与化学专业研究生创新精神培养研究——以江西科技师范大学为例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陈曦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省级一般项目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JXYJG-2021-169</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637"/>
              </w:tabs>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化学专业研究生虚拟仿真实验教学的研究与实践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孙晓霞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省级一般项目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KSDYJG-2021-01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“原始创新”背景下地方高校化学类研究生创新思维能力培养模式探索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徐景坤</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KSDYJG-2021-02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以提升研究生综合能力为目标的仪器分析实验教学改革——以化学专业研究生为例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阳如春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KSDYJG-2021-03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基于研究生创新能力培养的《波谱解析》课堂互动教学模式探索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崔士强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KSDYJG-2021-04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以研究生创新能力培养为核心的生物药剂学与药物动力学课程教学改革研究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廖向文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项目编号</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  目  名  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主持人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立项级别</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KSDYJG-2021-05</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基于深度学习策略的研究生课程翻转课堂教学模式构建及评价研究——以《信息技术教育测量与评价》研究生课程为例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罗艳玲</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KSDYJG-2021-06</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行动导向教学在职教专硕研究生《课程开发与教材研究》课程中的应用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郝谦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KSDYJG-2021-07</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“三全育人”体系建设背景下现代材料研究方法课程改革催化“协同育人”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李平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KSDYJG-2021-08</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材料科学与工程专业《计算材料学》课程教学模式的探究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陈忠</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KSDYJG-2021-09</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知识推荐型线上、线下自主融合式教学研究与实践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万红新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KSDYJG-2021-10</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“三全育人”背景下教育硕士课程思政实施的理念与路径研究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袁玖根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20" w:firstLineChars="100"/>
              <w:textAlignment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基于“金课”背景下线上线下混合式研究生课程教学模式研究与实践--以《表观遗传学》课程为例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刘建涛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46"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体验式理念下研究生公选艺术课的教学探索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廖江波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跨专业与本专业英语教育硕士生学科教学知识比较研究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张礼牡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基于《音乐美学》课程与《钢琴演奏》课程的教学融合研究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尹勋锋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KSDYJG-2021-15</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破“五唯”背景下全日制体育硕士专业学位研究生培养质量评价体系研究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谭文辉</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KSDYJG-2021-16</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“校政企”合作模式下提升体育学科硕士研究生社会服务能力的研究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肖文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KSDYJG-2021-17</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以培养研究生自主创新能力为核心的“三合一”体系构建与实践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门丹丹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KSDYJG-2021-18</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地方高校艺术硕士（美术领域）学位论文写作指导方法探索与实践——以江西科技师范大学为例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周群</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项目编号</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  目  名  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主持人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立项级别</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KSDYJG-2021-19</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深度学习理念下基于SPOC的翻转课堂设计与实践研究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崔浩</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KSDYJG-2021-20</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基于现代产业学院的旅游职教教育硕士“工匠之师”人才培养研究与实践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刘传喜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KSDYJG-2021-21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产教融合提高专业学位研究生实践能力的探索与实践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贺斌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KSDYJG-2021-22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通过“Journal Club”等提升理工科研究生专业英语技能的互动式教学改革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李金枝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KSDYJG-2021-23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互联网+比赛导师组培养模式的构建与实践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卢宝阳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r>
        <w:tblPrEx>
          <w:tblCellMar>
            <w:top w:w="15" w:type="dxa"/>
            <w:left w:w="15" w:type="dxa"/>
            <w:bottom w:w="15" w:type="dxa"/>
            <w:right w:w="15" w:type="dxa"/>
          </w:tblCellMar>
        </w:tblPrEx>
        <w:trPr>
          <w:cantSplit/>
          <w:trHeight w:val="51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KSDYJG-2021-24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犹他大学硕士研究生“双创”教育经验与国内地方高校融合模式研究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陈帅</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校级项目</w:t>
            </w:r>
          </w:p>
        </w:tc>
      </w:tr>
    </w:tbl>
    <w:p>
      <w:pPr>
        <w:spacing w:line="360" w:lineRule="auto"/>
        <w:rPr>
          <w:rFonts w:ascii="微软雅黑" w:hAnsi="微软雅黑" w:eastAsia="微软雅黑" w:cs="Arial"/>
          <w:color w:val="333333"/>
          <w:kern w:val="0"/>
          <w:sz w:val="26"/>
          <w:szCs w:val="26"/>
        </w:rPr>
      </w:pPr>
    </w:p>
    <w:p>
      <w:pPr>
        <w:spacing w:line="360" w:lineRule="auto"/>
        <w:rPr>
          <w:rFonts w:ascii="微软雅黑" w:hAnsi="微软雅黑" w:eastAsia="微软雅黑" w:cs="Arial"/>
          <w:color w:val="333333"/>
          <w:kern w:val="0"/>
          <w:sz w:val="26"/>
          <w:szCs w:val="26"/>
        </w:rPr>
      </w:pPr>
    </w:p>
    <w:sectPr>
      <w:pgSz w:w="16838" w:h="11906" w:orient="landscape"/>
      <w:pgMar w:top="1633" w:right="1440" w:bottom="163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WQxNmYxNWZmYzhjYjk2M2ZjZmFlODQ4MDhjOWQifQ=="/>
  </w:docVars>
  <w:rsids>
    <w:rsidRoot w:val="00295B85"/>
    <w:rsid w:val="000210D3"/>
    <w:rsid w:val="00240F8E"/>
    <w:rsid w:val="00295B85"/>
    <w:rsid w:val="00316D9B"/>
    <w:rsid w:val="0033754F"/>
    <w:rsid w:val="00800592"/>
    <w:rsid w:val="00A53123"/>
    <w:rsid w:val="00B13343"/>
    <w:rsid w:val="014333AF"/>
    <w:rsid w:val="03350C2A"/>
    <w:rsid w:val="06AC4649"/>
    <w:rsid w:val="07636166"/>
    <w:rsid w:val="0C0C1163"/>
    <w:rsid w:val="0D850113"/>
    <w:rsid w:val="0E1C3713"/>
    <w:rsid w:val="0E1C513D"/>
    <w:rsid w:val="0EAB1436"/>
    <w:rsid w:val="0FB86AA2"/>
    <w:rsid w:val="111C2002"/>
    <w:rsid w:val="149C5DC7"/>
    <w:rsid w:val="161D2A41"/>
    <w:rsid w:val="17F71C0F"/>
    <w:rsid w:val="19666F62"/>
    <w:rsid w:val="199F3A0D"/>
    <w:rsid w:val="1B78202E"/>
    <w:rsid w:val="1DD573A5"/>
    <w:rsid w:val="20036FA3"/>
    <w:rsid w:val="20C77B59"/>
    <w:rsid w:val="21BE62B0"/>
    <w:rsid w:val="225230EF"/>
    <w:rsid w:val="273524AC"/>
    <w:rsid w:val="278C42E9"/>
    <w:rsid w:val="280A387F"/>
    <w:rsid w:val="29465480"/>
    <w:rsid w:val="295866D7"/>
    <w:rsid w:val="2A8F6A70"/>
    <w:rsid w:val="2BC2333C"/>
    <w:rsid w:val="2C062BF1"/>
    <w:rsid w:val="2D9A047F"/>
    <w:rsid w:val="2E5A4E89"/>
    <w:rsid w:val="304269CB"/>
    <w:rsid w:val="31FF175D"/>
    <w:rsid w:val="32831598"/>
    <w:rsid w:val="331952EF"/>
    <w:rsid w:val="353C3989"/>
    <w:rsid w:val="3710609D"/>
    <w:rsid w:val="38506661"/>
    <w:rsid w:val="3AFF2962"/>
    <w:rsid w:val="3B2D2827"/>
    <w:rsid w:val="40894D4A"/>
    <w:rsid w:val="46EE5DDE"/>
    <w:rsid w:val="497A633B"/>
    <w:rsid w:val="4F320590"/>
    <w:rsid w:val="4FE83F68"/>
    <w:rsid w:val="50B46C64"/>
    <w:rsid w:val="5499067D"/>
    <w:rsid w:val="57763326"/>
    <w:rsid w:val="58585E09"/>
    <w:rsid w:val="5B2B1DD0"/>
    <w:rsid w:val="5FC36417"/>
    <w:rsid w:val="611561D6"/>
    <w:rsid w:val="612664A0"/>
    <w:rsid w:val="61A06A63"/>
    <w:rsid w:val="65406653"/>
    <w:rsid w:val="6F2572D3"/>
    <w:rsid w:val="706117D5"/>
    <w:rsid w:val="7290511B"/>
    <w:rsid w:val="78322EB9"/>
    <w:rsid w:val="7A7F4950"/>
    <w:rsid w:val="7E2B2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1961</Words>
  <Characters>2458</Characters>
  <Lines>19</Lines>
  <Paragraphs>5</Paragraphs>
  <TotalTime>13</TotalTime>
  <ScaleCrop>false</ScaleCrop>
  <LinksUpToDate>false</LinksUpToDate>
  <CharactersWithSpaces>2569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2017-05-24T06:11:00Z</dcterms:created>
  <dc:creator>zhaolm</dc:creator>
  <cp:lastModifiedBy>BGS</cp:lastModifiedBy>
  <cp:lastPrinted>2020-12-18T02:39:00Z</cp:lastPrinted>
  <dcterms:modified xsi:type="dcterms:W3CDTF">2022-05-25T02:09:16Z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E14E4AB083654ACC866C9F514594C3FD</vt:lpwstr>
  </property>
</Properties>
</file>